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Петушинского района от 15.12.2025 N 1165</w:t>
              <w:br/>
              <w:t xml:space="preserve">"Об утверждении муниципальной программы "Реализация государственной национальной политики в Петушинском муниципальном округе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8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АДМИНИСТРАЦИЯ ПЕТУШИНСКОГО РАЙОНА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1165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"РЕАЛИЗАЦИЯ</w:t>
      </w:r>
    </w:p>
    <w:p>
      <w:pPr>
        <w:pStyle w:val="2"/>
        <w:jc w:val="center"/>
      </w:pPr>
      <w:r>
        <w:rPr>
          <w:sz w:val="20"/>
        </w:rPr>
        <w:t xml:space="preserve">ГОСУДАРСТВЕННОЙ НАЦИОНАЛЬНОЙ ПОЛИТИКИ В ПЕТУШИНСКОМ</w:t>
      </w:r>
    </w:p>
    <w:p>
      <w:pPr>
        <w:pStyle w:val="2"/>
        <w:jc w:val="center"/>
      </w:pPr>
      <w:r>
        <w:rPr>
          <w:sz w:val="20"/>
        </w:rPr>
        <w:t xml:space="preserve">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28.12.2025) {КонсультантПлюс}">
        <w:r>
          <w:rPr>
            <w:sz w:val="28"/>
            <w:color w:val="0000ff"/>
          </w:rPr>
          <w:t xml:space="preserve">статьей 179</w:t>
        </w:r>
      </w:hyperlink>
      <w:r>
        <w:rPr>
          <w:sz w:val="28"/>
        </w:rPr>
        <w:t xml:space="preserve"> Бюджетного кодекса Российской Федерации, Федеральными законами от 06.10.2003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8"/>
            <w:color w:val="0000ff"/>
          </w:rPr>
          <w:t xml:space="preserve">N 131-ФЗ</w:t>
        </w:r>
      </w:hyperlink>
      <w:r>
        <w:rPr>
          <w:sz w:val="28"/>
        </w:rPr>
        <w:t xml:space="preserve"> "Об общих принципах организации местного самоуправления в Российской Федерации", от 20.03.2025 </w:t>
      </w:r>
      <w:hyperlink w:history="0"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8"/>
            <w:color w:val="0000ff"/>
          </w:rPr>
          <w:t xml:space="preserve">N 33-ФЗ</w:t>
        </w:r>
      </w:hyperlink>
      <w:r>
        <w:rPr>
          <w:sz w:val="28"/>
        </w:rPr>
        <w:t xml:space="preserve"> "Об общих принципах организации местного самоуправления в единой системе публичной власти", </w:t>
      </w:r>
      <w:hyperlink w:history="0" r:id="rId11" w:tooltip="Постановление Правительства РФ от 29.12.2016 N 1532 (ред. от 19.11.2025) &quot;Об утверждении государственной программы Российской Федерации &quot;Реализация государственной национальной политики&quot; {КонсультантПлюс}">
        <w:r>
          <w:rPr>
            <w:sz w:val="28"/>
            <w:color w:val="0000ff"/>
          </w:rPr>
          <w:t xml:space="preserve">постановлением</w:t>
        </w:r>
      </w:hyperlink>
      <w:r>
        <w:rPr>
          <w:sz w:val="28"/>
        </w:rPr>
        <w:t xml:space="preserve"> Правительства Российской Федерации от 29.12.2016 N 1532 "Об утверждении государственной программы Российской Федерации "Реализация государственной национальной политики", </w:t>
      </w:r>
      <w:hyperlink w:history="0" r:id="rId12" w:tooltip="Закон Владимирской области от 05.06.2025 N 64-ОЗ (ред. от 08.08.2025) &quot;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&quot; (принят постановлением ЗС Владимирской области от 29.05.2025 N 151) {КонсультантПлюс}">
        <w:r>
          <w:rPr>
            <w:sz w:val="28"/>
            <w:color w:val="0000ff"/>
          </w:rPr>
          <w:t xml:space="preserve">Законом</w:t>
        </w:r>
      </w:hyperlink>
      <w:r>
        <w:rPr>
          <w:sz w:val="28"/>
        </w:rPr>
        <w:t xml:space="preserve"> Владимирской области от 05.06.2025 N 64-ОЗ "Об образовании муниципального округа и городского округа в границах муниципального образования Петушинский район и признании утратившим силу отдельных законов Владимирской области", </w:t>
      </w:r>
      <w:hyperlink w:history="0" r:id="rId13" w:tooltip="Постановление администрации Владимирской обл. от 29.12.2017 N 1169 (ред. от 26.12.2025) &quot;О государственной программе Владимирской области &quot;Реализация государственной национальной политики во Владимирской области&quot; (вместе со &quot;Стратегическими приоритетами государственной программы Владимирской области &quot;Реализация государственной национальной политики во Владимирской области&quot;) {КонсультантПлюс}">
        <w:r>
          <w:rPr>
            <w:sz w:val="28"/>
            <w:color w:val="0000ff"/>
          </w:rPr>
          <w:t xml:space="preserve">постановлением</w:t>
        </w:r>
      </w:hyperlink>
      <w:r>
        <w:rPr>
          <w:sz w:val="28"/>
        </w:rPr>
        <w:t xml:space="preserve"> администрации Владимирской области от 29.12.2017 N 1169 "О государственной программе Владимирской области "Реализация государственной национальной политики во Владимирской области", </w:t>
      </w:r>
      <w:hyperlink w:history="0" r:id="rId14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Стратегией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88/17, постановлениями администрации Петушинского района от 12.11.2025 </w:t>
      </w:r>
      <w:hyperlink w:history="0" r:id="rId15" w:tooltip="Постановление администрации Петушинского района от 12.11.2025 N 1075 &quot;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1075</w:t>
        </w:r>
      </w:hyperlink>
      <w:r>
        <w:rPr>
          <w:sz w:val="28"/>
        </w:rPr>
        <w:t xml:space="preserve"> "Об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области", от 12.11.2025 </w:t>
      </w:r>
      <w:hyperlink w:history="0" r:id="rId16" w:tooltip="Постановление администрации Петушинского района от 12.11.2025 N 1071 &quot;Об утверждении Перечня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1071</w:t>
        </w:r>
      </w:hyperlink>
      <w:r>
        <w:rPr>
          <w:sz w:val="28"/>
        </w:rPr>
        <w:t xml:space="preserve"> "Об утверждении Перечня муниципальных программ Петушинского муниципального округа Владимирской области", руководствуясь </w:t>
      </w:r>
      <w:hyperlink w:history="0" r:id="rId17" w:tooltip="Решение Совета народных депутатов Петушинского муниципального округа Владимирской области от 12.11.2025 N 55/5 &quot;Об утверждении (принятии) Устава Петушинского муниципального округа Владимирской области&quot; (Зарегистрировано в Управлении Минюста России по Владимирской области 03.12.2025 N RU337070002025001) {КонсультантПлюс}">
        <w:r>
          <w:rPr>
            <w:sz w:val="28"/>
            <w:color w:val="0000ff"/>
          </w:rPr>
          <w:t xml:space="preserve">Уставом</w:t>
        </w:r>
      </w:hyperlink>
      <w:r>
        <w:rPr>
          <w:sz w:val="28"/>
        </w:rPr>
        <w:t xml:space="preserve"> Петушинского муниципального округа Владимирской области, постановляю: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Утвердить муниципальную </w:t>
      </w:r>
      <w:hyperlink w:history="0" w:anchor="P29" w:tooltip="МУНИЦИПАЛЬНАЯ ПРОГРАММА">
        <w:r>
          <w:rPr>
            <w:sz w:val="28"/>
            <w:color w:val="0000ff"/>
          </w:rPr>
          <w:t xml:space="preserve">программу</w:t>
        </w:r>
      </w:hyperlink>
      <w:r>
        <w:rPr>
          <w:sz w:val="28"/>
        </w:rPr>
        <w:t xml:space="preserve"> "Реализация государственной национальной политики в Петушинском муниципальном округе Владимирской области" согласно приложению.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Контроль за исполнением постановления возложить на заместителя главы администрации по внутренней политике.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Постановление вступает в силу со дня официального опубликования в сетевом издании "Официальный интернет-портал правовой информации Петушинского района" в информационно-телекоммуникационной сети "Интернет" по адресу: </w:t>
      </w:r>
      <w:hyperlink w:history="0" r:id="rId18">
        <w:r>
          <w:rPr>
            <w:sz w:val="28"/>
            <w:color w:val="0000ff"/>
          </w:rPr>
          <w:t xml:space="preserve">VESTNIK-PETRAION.RU</w:t>
        </w:r>
      </w:hyperlink>
      <w:r>
        <w:rPr>
          <w:sz w:val="28"/>
        </w:rPr>
        <w:t xml:space="preserve">, но не ранее 01.01.2026, и подлежит размещению на официальном сайте Петушинского муниципального округа Владимирской области.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right"/>
      </w:pPr>
      <w:r>
        <w:rPr>
          <w:sz w:val="28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8"/>
        </w:rPr>
        <w:t xml:space="preserve">А.В.КУРБАТОВ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0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постановлению</w:t>
      </w:r>
    </w:p>
    <w:p>
      <w:pPr>
        <w:pStyle w:val="0"/>
        <w:jc w:val="right"/>
      </w:pPr>
      <w:r>
        <w:rPr>
          <w:sz w:val="28"/>
        </w:rPr>
        <w:t xml:space="preserve">администрации</w:t>
      </w:r>
    </w:p>
    <w:p>
      <w:pPr>
        <w:pStyle w:val="0"/>
        <w:jc w:val="right"/>
      </w:pPr>
      <w:r>
        <w:rPr>
          <w:sz w:val="28"/>
        </w:rPr>
        <w:t xml:space="preserve">Петушинского района</w:t>
      </w:r>
    </w:p>
    <w:p>
      <w:pPr>
        <w:pStyle w:val="0"/>
        <w:jc w:val="right"/>
      </w:pPr>
      <w:r>
        <w:rPr>
          <w:sz w:val="28"/>
        </w:rPr>
        <w:t xml:space="preserve">от 15.12.2025 N 1165</w:t>
      </w:r>
    </w:p>
    <w:p>
      <w:pPr>
        <w:pStyle w:val="0"/>
        <w:jc w:val="both"/>
      </w:pPr>
      <w:r>
        <w:rPr>
          <w:sz w:val="28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"РЕАЛИЗАЦИЯ ГОСУДАРСТВЕННОЙ НАЦИОНАЛЬНОЙ ПОЛИТИКИ</w:t>
      </w:r>
    </w:p>
    <w:p>
      <w:pPr>
        <w:pStyle w:val="2"/>
        <w:jc w:val="center"/>
      </w:pPr>
      <w:r>
        <w:rPr>
          <w:sz w:val="20"/>
        </w:rPr>
        <w:t xml:space="preserve">В ПЕТУШИНСКОМ 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"Реализация государственной</w:t>
      </w:r>
    </w:p>
    <w:p>
      <w:pPr>
        <w:pStyle w:val="2"/>
        <w:jc w:val="center"/>
      </w:pPr>
      <w:r>
        <w:rPr>
          <w:sz w:val="20"/>
        </w:rPr>
        <w:t xml:space="preserve">национальной политики в Петушинском муниципальном округе</w:t>
      </w:r>
    </w:p>
    <w:p>
      <w:pPr>
        <w:pStyle w:val="2"/>
        <w:jc w:val="center"/>
      </w:pPr>
      <w:r>
        <w:rPr>
          <w:sz w:val="20"/>
        </w:rPr>
        <w:t xml:space="preserve">Владимирской области" (далее - муниципальная программа)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62"/>
        <w:gridCol w:w="1415"/>
        <w:gridCol w:w="1415"/>
        <w:gridCol w:w="1415"/>
        <w:gridCol w:w="1417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Основной исполнитель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управление социального взаимодействия, межнационального сотрудничества и развития гражданского общества администрации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Соисполнители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Участники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управление образования, молодежной политики и патриотического воспитания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управление культуры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муниципальное казенное учреждение "Управление сельского хозяйства Петушинского муниципального округа Владимирской области";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управление развития спорта и физической культуры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Подпрограммы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Цель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укрепление гражданского единства, гармонизация межнациональных и межконфессиональных отношений, обеспечение общественно-политической стабильности в Петушинском муниципальном округе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Задачи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содействие этнокультурному многообразию народов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выстраивание единой организационно-управленческой вертикали по реализации государственной национальной политики в Петушинском муниципальном округе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реализация информационно-пропагандистских и других социально значимых мероприятий в сфере укрепления единства российской нации и этнокультурного развитие народов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Целевые индикаторы и показатели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увеличение количества мероприятий, направленных на этнокультурное развитие населения;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увеличение количества населения, принимающего участие в мероприятиях по реализации мероприятий государственной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увеличение количества публикаций в средствах массовой информации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Сроки и этапы реализации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2026 - 2030 годы. Этапы не предусмотрены</w:t>
            </w:r>
          </w:p>
        </w:tc>
      </w:tr>
      <w:tr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программы, в том числе по годам и источникам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675 тыс. руб., 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Год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Местный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Областной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Внебюджетные источники,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275,0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275,0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14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Ожидаемые конечные результаты реализации программы</w:t>
            </w:r>
          </w:p>
        </w:tc>
        <w:tc>
          <w:tcPr>
            <w:gridSpan w:val="5"/>
            <w:tcW w:w="6524" w:type="dxa"/>
          </w:tcPr>
          <w:p>
            <w:pPr>
              <w:pStyle w:val="0"/>
            </w:pPr>
            <w:r>
              <w:rPr>
                <w:sz w:val="28"/>
              </w:rPr>
              <w:t xml:space="preserve">- вовлечение учреждений и организаций в реализацию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осуществление целенаправленного вложения средств в формирование гармоничной системы этноконфессиональных отношений;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информирование населения о реализации государственной национальной политики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Общая характеристика сферы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Петушинский муниципальный округ Владимирской области (далее - Петушинский муниципальный округ) находится на юго-западе Владимирской области Российской Федерации.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По данным Всероссийской переписи населения 2020 года на территории Петушинского муниципального округа проживает 28598 человек. Это люди 52 национальностей. Из них русской национальности 21448 человек, что составляет 75% от общего количества населения. Причем женщины составляют 55%, а мужчины 45% от общего числа жителей русской национальности. Численный состав женщин преобладающих иностранных государств составляет от 26 до 47%, а мужчин от 53 до 74%.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составе населения преобладают граждане 11 национальностей. Это азербайджанцы, белорусы, вьетнамцы, киргизы, молдаване, таджики, татары, узбеки, украинцы, цыгане.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Петушинском муниципальном округе наиболее распространены 11 языков. Преобладающее количество населения владеет русским языком - 26882 или 94% и использует его в повседневной жизни - 28312 или 99%.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На изменение этнической структуры населения Петушинского муниципального округа оказывают влияние: изменение в естественном воспроизводстве населения, увеличение числа смешанных браков, поток иностранных граждан, временно прибывающих в регион с целью трудовой деятельности из зарубежных государств.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Анализ миграционных потоков на территории Петушинского муниципального округа также является неотъемлемой составляющей выстраивания эффективной работы. Динамика количества пребывающих и проживающих на его территории иностранных граждан и лиц без гражданства свидетельствует о том, что в целом миграционная ситуация остается достаточно стабильной и прогнозируемой.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Традиционно самые масштабные миграционные потоки направлены из стран СНГ. Большинство иностранных граждан прибывают из Республики Киргизия, Узбекистан, Таджикистан.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структуре мигрантов из стран дальнего зарубежья превалируют граждане Вьетнама.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Петушинском муниципальном округе реализацией государственной политики в сфере межнациональных отношений занимаются органы местного самоуправления и национальные общественные объединения.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Сформирована и постоянно усовершенствуется муниципальная нормативная правовая база, являющаяся основой регулирования вопросов национальной политики, а именно: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создан Совет по межнациональным и межконфессиональным отношениям, в работу которого включены представители общественных организаций, религиозных организаций, представители органов местного самоуправления, представители ОМВД;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ведется муниципальный этнопаспорт цыганского населения;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заполняется паспорт муниципального образования;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осуществляется анализ статистических данных по национальному составу Петушинского муниципального округа проводится мониторинг этноконфессиональной обстановки;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действует правовая школа по профилактике экстремизма в Петушинском муниципальном округе.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Утверждение муниципальной программы позволит увеличить уровень толерантности и снизить напряженность в обществе в сфере межэтнических отношений; организовать и эффективно осуществлять систему мониторинга этноконфессиональных отношений; укрепить успешное взаимодействие между органами местного самоуправления муниципального образования и общественностью и послужит залогом решения поставленных задач.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эффективного решения поставленных задач в сфере национальной политики необходимы целенаправленные системные комплексные меры, что требует применения программно-целевого метода. Это позволит перейти от ситуативной и бессистемной поддержки отдельных мероприятий к целевому финансированию мероприятий и проектов в сфере государственной национальной политики.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Приоритеты муниципальной политики в сфере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программы, цели, задачи, сроки и этапы</w:t>
      </w:r>
    </w:p>
    <w:p>
      <w:pPr>
        <w:pStyle w:val="2"/>
        <w:jc w:val="center"/>
      </w:pPr>
      <w:r>
        <w:rPr>
          <w:sz w:val="20"/>
        </w:rPr>
        <w:t xml:space="preserve">реализации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Приоритеты в сфере реализации муниципальной программы определяются исходя из </w:t>
      </w:r>
      <w:hyperlink w:history="0" r:id="rId19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Стратегии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88/17, и отдельных направлений развития экономики и социальной сферы, необходимости исполнения переданных государственных полномочий, исполнения программных указов Президента Российской Федерации.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реализации муниципальной программы определены следующие приоритеты в сфере реализации государственной национальной политики: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укрепление общероссийской гражданской идентичности на основе традиционных российских духовно-нравственных и культурно-исторических ценностей;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сохранение и поддержка этнокультурного и языкового многообразия Российской Федерации;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Реализация муниципальной программы предусматривает достижение приоритетной цели: укрепление гражданского единства, гармонизация межнациональных и межконфессиональных отношений, обеспечение общественно-политической стабильности в Петушинском муниципальном округе. Достижение цели осуществляется в ходе реализации основных задач: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содействие этнокультурному многообразию народов Петушинского муниципального округа;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выстраивание единой организационно-управленческой вертикали по реализации государственной национальной политики в Петушинском муниципальном округе;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реализация информационно-пропагандистских и других социально значимых мероприятий в сфере укрепления единства российской нации и этнокультурного развитие народов.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Срок реализация муниципальной программы: 2026 - 2030 годы. Этапы не предусмотрены.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Показатели (индикаторы) достижения целей и решения</w:t>
      </w:r>
    </w:p>
    <w:p>
      <w:pPr>
        <w:pStyle w:val="2"/>
        <w:jc w:val="center"/>
      </w:pPr>
      <w:r>
        <w:rPr>
          <w:sz w:val="20"/>
        </w:rPr>
        <w:t xml:space="preserve">задач, основные ожидаемые конечные результаты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hyperlink w:history="0" w:anchor="P231" w:tooltip="Таблица N 3. Сведения">
        <w:r>
          <w:rPr>
            <w:sz w:val="28"/>
            <w:color w:val="0000ff"/>
          </w:rPr>
          <w:t xml:space="preserve">Сведения</w:t>
        </w:r>
      </w:hyperlink>
      <w:r>
        <w:rPr>
          <w:sz w:val="28"/>
        </w:rPr>
        <w:t xml:space="preserve"> о целевых показателях (индикаторах) и их значениях приведены в таблице N 3 приложения к муниципальной программе.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носят прогнозный характер и зависят от возможностей бюджета Петушинского муниципального, финансирующего муниципальную программу. В случаях изменения в ходе реализации муниципальной программы целевые показатели подлежит корректировке.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Конечные результаты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вовлечение учреждений и организаций в реализацию национальной политики;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осуществление целенаправленного вложения средств в формирование гармоничной системы этноконфессиональных отношений;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информирование населения о реализации государственной национальной политики.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Обобщенная характеристика подпрограмм и мероприятий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Состав основных мероприятий муниципальной программы определен исходя из необходимости достижения ее цели и задач и сгруппирован по направлениям. Состав мероприятий может корректироваться по мере решения задач муниципальной программы.</w:t>
      </w:r>
    </w:p>
    <w:p>
      <w:pPr>
        <w:pStyle w:val="0"/>
        <w:spacing w:before="280" w:lineRule="auto"/>
        <w:ind w:firstLine="540"/>
        <w:jc w:val="both"/>
      </w:pPr>
      <w:hyperlink w:history="0" w:anchor="P184" w:tooltip="Таблица N 2. Перечень">
        <w:r>
          <w:rPr>
            <w:sz w:val="28"/>
            <w:color w:val="0000ff"/>
          </w:rPr>
          <w:t xml:space="preserve">Перечень</w:t>
        </w:r>
      </w:hyperlink>
      <w:r>
        <w:rPr>
          <w:sz w:val="28"/>
        </w:rPr>
        <w:t xml:space="preserve"> основных мероприятий муниципальной программы приведен в таблице N 2 приложения к муниципальной программе, и включенные в нее мероприятия представляют в совокупности комплекс взаимосвязанных мер, направленных на укрепление единства Российской нации и этнокультурное развитие народов Петушинского муниципального округа: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Мероприятия по укреплению единства Российской нации и положительного отношения к людям другой национальности в сфере культуры.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Соревнования, направленные на популяризацию спорта среди людей разных национальностей.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Акции в сфере профилактики межнациональных конфликтов в образовательных учреждениях.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Конкурсы в сфере национальных отношений, занятия правовой школы по профилактике экстремизма в Петушинском муниципальном округе.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обеспечения мониторинга реализации муниципальной программы, ответственным исполнителем ежегодно, в установленном порядке, готовится отчет о ходе ее реализации.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Ресурсное обеспечение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Источниками финансирования для осуществления муниципальной программы являются средства бюджета Петушинского муниципального округа. Ежегодный объем финансирования мероприятий муниципальной программы может уточняться в установленном порядке, объемы финансирования корректироваться с учетом утвержденных расходов бюджета Петушинского муниципального округа.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Ресурсное </w:t>
      </w:r>
      <w:hyperlink w:history="0" w:anchor="P273" w:tooltip="Таблица N 4. Ресурсное обеспечение">
        <w:r>
          <w:rPr>
            <w:sz w:val="28"/>
            <w:color w:val="0000ff"/>
          </w:rPr>
          <w:t xml:space="preserve">обеспечение</w:t>
        </w:r>
      </w:hyperlink>
      <w:r>
        <w:rPr>
          <w:sz w:val="28"/>
        </w:rPr>
        <w:t xml:space="preserve"> муниципальной программы приведено в таблице N 4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Прогноз конечных результатов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Реализация муниципальной программы приведет к достижению следующих конечных результатов: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вовлечение учреждений и организаций в реализацию национальной политики;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осуществление целенаправленного вложения средств в формирование гармоничной системы этноконфессиональных отношений;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информирование населения о реализации государственной национальной политики.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8"/>
        </w:rPr>
        <w:t xml:space="preserve">"Реализация государственной</w:t>
      </w:r>
    </w:p>
    <w:p>
      <w:pPr>
        <w:pStyle w:val="0"/>
        <w:jc w:val="right"/>
      </w:pPr>
      <w:r>
        <w:rPr>
          <w:sz w:val="28"/>
        </w:rPr>
        <w:t xml:space="preserve">национальной политики</w:t>
      </w:r>
    </w:p>
    <w:p>
      <w:pPr>
        <w:pStyle w:val="0"/>
        <w:jc w:val="right"/>
      </w:pPr>
      <w:r>
        <w:rPr>
          <w:sz w:val="28"/>
        </w:rPr>
        <w:t xml:space="preserve">в Петушинском муниципальном</w:t>
      </w:r>
    </w:p>
    <w:p>
      <w:pPr>
        <w:pStyle w:val="0"/>
        <w:jc w:val="right"/>
      </w:pPr>
      <w:r>
        <w:rPr>
          <w:sz w:val="28"/>
        </w:rPr>
        <w:t xml:space="preserve">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bookmarkStart w:id="184" w:name="P184"/>
    <w:bookmarkEnd w:id="184"/>
    <w:p>
      <w:pPr>
        <w:pStyle w:val="2"/>
        <w:outlineLvl w:val="2"/>
        <w:jc w:val="center"/>
      </w:pPr>
      <w:r>
        <w:rPr>
          <w:sz w:val="20"/>
        </w:rPr>
        <w:t xml:space="preserve">Таблица N 2. 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муниципальной программы "Реализация</w:t>
      </w:r>
    </w:p>
    <w:p>
      <w:pPr>
        <w:pStyle w:val="2"/>
        <w:jc w:val="center"/>
      </w:pPr>
      <w:r>
        <w:rPr>
          <w:sz w:val="20"/>
        </w:rPr>
        <w:t xml:space="preserve">государственной национальной политики в Петушинском</w:t>
      </w:r>
    </w:p>
    <w:p>
      <w:pPr>
        <w:pStyle w:val="2"/>
        <w:jc w:val="center"/>
      </w:pPr>
      <w:r>
        <w:rPr>
          <w:sz w:val="20"/>
        </w:rPr>
        <w:t xml:space="preserve">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2835"/>
        <w:gridCol w:w="1133"/>
        <w:gridCol w:w="1133"/>
        <w:gridCol w:w="3685"/>
        <w:gridCol w:w="1984"/>
      </w:tblGrid>
      <w:tr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Номер и наименование основного мероприятия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Ответственный исполнитель программы</w:t>
            </w:r>
          </w:p>
        </w:tc>
        <w:tc>
          <w:tcPr>
            <w:gridSpan w:val="2"/>
            <w:tcW w:w="226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Срок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Ожидаемый результат (краткое описание)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Связь мероприятия с показателями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начала реализации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1. Мероприятия по укреплению единства Российской нации и положительного отношения к людям другой национальности в сфере культуры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культуры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Управление сельского хозяйства Петушинского муниципального округа Владимирской области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8"/>
              </w:rPr>
              <w:t xml:space="preserve">- вовлечение учреждений и организаций в реализацию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осуществление целенаправленного вложения средств в формирование гармоничной системы этноконфессиональных отношений;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информирование населения о реализации государственной национальной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выполнения показателя N 1, N 2, N 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2. Соревнования, направленные на популяризацию спорта среди людей разных национальностей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развития спорта и физической культуры Петушинского муниципального округа Владимирской области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8"/>
              </w:rPr>
              <w:t xml:space="preserve">- вовлечение учреждений и организаций в реализацию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осуществление целенаправленного вложения средств в формирование гармоничной системы этноконфессиональных отношений;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информирование населения о реализации государственной национальной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выполнения показателя N 1, N 2, N 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3. Акции в сфере профилактики межнациональных конфликтов в образовательных учреждениях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 Петушинского муниципального округа Владимирской области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8"/>
              </w:rPr>
              <w:t xml:space="preserve">- вовлечение учреждений и организаций в реализацию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осуществление целенаправленного вложения средств в формирование гармоничной системы этноконфессиональных отношений;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информирование населения о реализации государственной национальной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выполнения показателя N 1, N 2, N 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4. Конкурсы в сфере национальных отношений.</w:t>
            </w:r>
          </w:p>
          <w:p>
            <w:pPr>
              <w:pStyle w:val="0"/>
            </w:pPr>
            <w:r>
              <w:rPr>
                <w:sz w:val="28"/>
              </w:rPr>
              <w:t xml:space="preserve">Занятия правовой школы по профилактике экстремизма в Петушинском муниципальном округе Владимирской области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8"/>
              </w:rPr>
              <w:t xml:space="preserve">Комитет социального взаимодействия, межнационального сотрудничества и развития гражданского общества администрации Петушинского муниципального округа Владимирской области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8"/>
              </w:rPr>
              <w:t xml:space="preserve">- вовлечение учреждений и организаций в реализацию национальной политики;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осуществление целенаправленного вложения средств в формирование гармоничной системы этноконфессиональных отношений;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информирование населения о реализации государственной национальной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выполнения показателя N 1, N 2, N 3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8"/>
        </w:rPr>
      </w:r>
    </w:p>
    <w:bookmarkStart w:id="231" w:name="P231"/>
    <w:bookmarkEnd w:id="231"/>
    <w:p>
      <w:pPr>
        <w:pStyle w:val="2"/>
        <w:outlineLvl w:val="2"/>
        <w:jc w:val="center"/>
      </w:pPr>
      <w:r>
        <w:rPr>
          <w:sz w:val="20"/>
        </w:rPr>
        <w:t xml:space="preserve">Таблица N 3. Сведения</w:t>
      </w:r>
    </w:p>
    <w:p>
      <w:pPr>
        <w:pStyle w:val="2"/>
        <w:jc w:val="center"/>
      </w:pPr>
      <w:r>
        <w:rPr>
          <w:sz w:val="20"/>
        </w:rPr>
        <w:t xml:space="preserve">о целевых показателях (индикаторах)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и их значениях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 целевого показателя (индикатора)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Ед. измерения</w:t>
            </w:r>
          </w:p>
        </w:tc>
        <w:tc>
          <w:tcPr>
            <w:gridSpan w:val="7"/>
            <w:tcW w:w="59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Значения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базовый 2024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текущий 2025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1. Увеличение количества мероприятий, направленных на этнокультурное развитие населения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2. Увеличение количества населения, принимающего участие в мероприятиях по реализации мероприятий государственной национальной политики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1100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1200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1300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1500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3. Увеличение количества публикаций в средствах массовой информации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273" w:name="P273"/>
    <w:bookmarkEnd w:id="273"/>
    <w:p>
      <w:pPr>
        <w:pStyle w:val="2"/>
        <w:outlineLvl w:val="2"/>
        <w:jc w:val="center"/>
      </w:pPr>
      <w:r>
        <w:rPr>
          <w:sz w:val="20"/>
        </w:rPr>
        <w:t xml:space="preserve">Таблица N 4. 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"Реализация государственной</w:t>
      </w:r>
    </w:p>
    <w:p>
      <w:pPr>
        <w:pStyle w:val="2"/>
        <w:jc w:val="center"/>
      </w:pPr>
      <w:r>
        <w:rPr>
          <w:sz w:val="20"/>
        </w:rPr>
        <w:t xml:space="preserve">национальной политики в Петушинском муниципальном округе</w:t>
      </w:r>
    </w:p>
    <w:p>
      <w:pPr>
        <w:pStyle w:val="2"/>
        <w:jc w:val="center"/>
      </w:pPr>
      <w:r>
        <w:rPr>
          <w:sz w:val="20"/>
        </w:rPr>
        <w:t xml:space="preserve">Владимирской области" наименование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"/>
        <w:gridCol w:w="1984"/>
        <w:gridCol w:w="1417"/>
        <w:gridCol w:w="850"/>
        <w:gridCol w:w="850"/>
        <w:gridCol w:w="850"/>
        <w:gridCol w:w="850"/>
        <w:gridCol w:w="850"/>
        <w:gridCol w:w="850"/>
      </w:tblGrid>
      <w:tr>
        <w:tc>
          <w:tcPr>
            <w:gridSpan w:val="2"/>
            <w:tcW w:w="253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Подпрограмма/основное мероприятие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Источник финансирования</w:t>
            </w:r>
          </w:p>
        </w:tc>
        <w:tc>
          <w:tcPr>
            <w:gridSpan w:val="5"/>
            <w:tcW w:w="42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Объем финансирования, тыс. рублей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Итого 2026 - 2030 годы</w:t>
            </w:r>
          </w:p>
        </w:tc>
      </w:tr>
      <w:tr>
        <w:tc>
          <w:tcPr>
            <w:tcW w:w="55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N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  <w:tc>
          <w:tcPr>
            <w:vMerge w:val="continue"/>
          </w:tcPr>
          <w:p/>
        </w:tc>
      </w:tr>
      <w:tr>
        <w:tc>
          <w:tcPr>
            <w:tcW w:w="55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55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Мероприятия по укреплению единства Российской нации и положительного отношения к людям другой национальности в сфере культуры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175,0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175,0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175,0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55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Соревнования, направленные на популяризацию спорта среди людей разных национальностей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55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Акции в сфере профилактики межнациональных конфликтов в образовательных учреждениях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55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Конкурсы и акции в сфере национальных отношений.</w:t>
            </w:r>
          </w:p>
          <w:p>
            <w:pPr>
              <w:pStyle w:val="0"/>
            </w:pPr>
            <w:r>
              <w:rPr>
                <w:sz w:val="28"/>
              </w:rPr>
              <w:t xml:space="preserve">Занятия правовой школы по профилактике молодежного экстремизма в Петушинском муниципальном округе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555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ИТОГО: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275,0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675,0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1165</w:t>
            <w:br/>
            <w:t>"Об утверждении муниципальной программы "Реализация...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1165</w:t>
            <w:br/>
            <w:t>"Об утверждении муниципальной программы "Реализация...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710&amp;dst=103280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01319" TargetMode = "External"/><Relationship Id="rId11" Type="http://schemas.openxmlformats.org/officeDocument/2006/relationships/hyperlink" Target="https://login.consultant.ru/link/?req=doc&amp;base=LAW&amp;n=519434" TargetMode = "External"/><Relationship Id="rId12" Type="http://schemas.openxmlformats.org/officeDocument/2006/relationships/hyperlink" Target="https://login.consultant.ru/link/?req=doc&amp;base=RLAW072&amp;n=221389" TargetMode = "External"/><Relationship Id="rId13" Type="http://schemas.openxmlformats.org/officeDocument/2006/relationships/hyperlink" Target="https://login.consultant.ru/link/?req=doc&amp;base=RLAW072&amp;n=227258" TargetMode = "External"/><Relationship Id="rId14" Type="http://schemas.openxmlformats.org/officeDocument/2006/relationships/hyperlink" Target="https://login.consultant.ru/link/?req=doc&amp;base=RLAW072&amp;n=213410&amp;dst=100010" TargetMode = "External"/><Relationship Id="rId15" Type="http://schemas.openxmlformats.org/officeDocument/2006/relationships/hyperlink" Target="https://login.consultant.ru/link/?req=doc&amp;base=RLAW072&amp;n=225577" TargetMode = "External"/><Relationship Id="rId16" Type="http://schemas.openxmlformats.org/officeDocument/2006/relationships/hyperlink" Target="https://login.consultant.ru/link/?req=doc&amp;base=RLAW072&amp;n=226075" TargetMode = "External"/><Relationship Id="rId17" Type="http://schemas.openxmlformats.org/officeDocument/2006/relationships/hyperlink" Target="https://login.consultant.ru/link/?req=doc&amp;base=RLAW072&amp;n=225877&amp;dst=100011" TargetMode = "External"/><Relationship Id="rId18" Type="http://schemas.openxmlformats.org/officeDocument/2006/relationships/hyperlink" Target="https://VESTNIK-PETRAION.RU" TargetMode = "External"/><Relationship Id="rId19" Type="http://schemas.openxmlformats.org/officeDocument/2006/relationships/hyperlink" Target="https://login.consultant.ru/link/?req=doc&amp;base=RLAW072&amp;n=213410&amp;dst=100010" TargetMode = "External"/><Relationship Id="rId20" Type="http://schemas.openxmlformats.org/officeDocument/2006/relationships/header" Target="header2.xml"/><Relationship Id="rId21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Петушинского района от 15.12.2025 N 1165
"Об утверждении муниципальной программы "Реализация государственной национальной политики в Петушинском муниципальном округе Владимирской области"</dc:title>
  <dcterms:created xsi:type="dcterms:W3CDTF">2026-04-01T09:00:40Z</dcterms:created>
</cp:coreProperties>
</file>